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2FB8" w14:textId="34BFE372" w:rsidR="003970E3" w:rsidRPr="003970E3" w:rsidRDefault="003970E3" w:rsidP="003970E3">
      <w:pPr>
        <w:rPr>
          <w:kern w:val="2"/>
        </w:rPr>
      </w:pPr>
      <w:bookmarkStart w:id="0" w:name="_Toc303331445"/>
      <w:r w:rsidRPr="00063E0D">
        <w:rPr>
          <w:noProof/>
          <w:kern w:val="2"/>
          <w:lang w:eastAsia="en-AU"/>
        </w:rPr>
        <mc:AlternateContent>
          <mc:Choice Requires="wps">
            <w:drawing>
              <wp:anchor distT="0" distB="0" distL="114300" distR="114300" simplePos="0" relativeHeight="251660288" behindDoc="0" locked="0" layoutInCell="1" allowOverlap="1" wp14:anchorId="11E6395F" wp14:editId="0FCB8FE8">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90215FC" w14:textId="54BEC017" w:rsidR="003970E3" w:rsidRPr="003F05EB" w:rsidRDefault="00884AD4" w:rsidP="003970E3">
                            <w:pPr>
                              <w:spacing w:before="40" w:after="40"/>
                              <w:jc w:val="center"/>
                              <w:rPr>
                                <w:rFonts w:asciiTheme="majorHAnsi" w:hAnsiTheme="majorHAnsi" w:cstheme="majorHAnsi"/>
                                <w:color w:val="FF0000"/>
                                <w:sz w:val="10"/>
                                <w:szCs w:val="10"/>
                              </w:rPr>
                            </w:pPr>
                            <w:r>
                              <w:rPr>
                                <w:rFonts w:asciiTheme="majorHAnsi" w:hAnsiTheme="majorHAnsi" w:cstheme="majorHAnsi"/>
                                <w:noProof/>
                                <w:color w:val="FF0000"/>
                                <w:sz w:val="10"/>
                                <w:szCs w:val="10"/>
                              </w:rPr>
                              <w:drawing>
                                <wp:inline distT="0" distB="0" distL="0" distR="0" wp14:anchorId="34DC1A0F" wp14:editId="107724C5">
                                  <wp:extent cx="795020" cy="5975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795020" cy="597535"/>
                                          </a:xfrm>
                                          <a:prstGeom prst="rect">
                                            <a:avLst/>
                                          </a:prstGeom>
                                        </pic:spPr>
                                      </pic:pic>
                                    </a:graphicData>
                                  </a:graphic>
                                </wp:inline>
                              </w:drawing>
                            </w:r>
                            <w:bookmarkStart w:id="1" w:name="_GoBack"/>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6395F"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" filled="f" stroked="f" strokeweight=".5pt">
                <v:textbox inset="0,0,0,0">
                  <w:txbxContent>
                    <w:p w14:paraId="190215FC" w14:textId="54BEC017" w:rsidR="003970E3" w:rsidRPr="003F05EB" w:rsidRDefault="00884AD4" w:rsidP="003970E3">
                      <w:pPr>
                        <w:spacing w:before="40" w:after="40"/>
                        <w:jc w:val="center"/>
                        <w:rPr>
                          <w:rFonts w:asciiTheme="majorHAnsi" w:hAnsiTheme="majorHAnsi" w:cstheme="majorHAnsi"/>
                          <w:color w:val="FF0000"/>
                          <w:sz w:val="10"/>
                          <w:szCs w:val="10"/>
                        </w:rPr>
                      </w:pPr>
                      <w:r>
                        <w:rPr>
                          <w:rFonts w:asciiTheme="majorHAnsi" w:hAnsiTheme="majorHAnsi" w:cstheme="majorHAnsi"/>
                          <w:noProof/>
                          <w:color w:val="FF0000"/>
                          <w:sz w:val="10"/>
                          <w:szCs w:val="10"/>
                        </w:rPr>
                        <w:drawing>
                          <wp:inline distT="0" distB="0" distL="0" distR="0" wp14:anchorId="34DC1A0F" wp14:editId="107724C5">
                            <wp:extent cx="795020" cy="5975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795020" cy="597535"/>
                                    </a:xfrm>
                                    <a:prstGeom prst="rect">
                                      <a:avLst/>
                                    </a:prstGeom>
                                  </pic:spPr>
                                </pic:pic>
                              </a:graphicData>
                            </a:graphic>
                          </wp:inline>
                        </w:drawing>
                      </w:r>
                      <w:bookmarkStart w:id="2" w:name="_GoBack"/>
                      <w:bookmarkEnd w:id="2"/>
                    </w:p>
                  </w:txbxContent>
                </v:textbox>
              </v:rect>
            </w:pict>
          </mc:Fallback>
        </mc:AlternateContent>
      </w:r>
      <w:r w:rsidRPr="00063E0D">
        <w:rPr>
          <w:noProof/>
          <w:kern w:val="2"/>
          <w:lang w:eastAsia="en-AU"/>
        </w:rPr>
        <w:drawing>
          <wp:inline distT="0" distB="0" distL="0" distR="0" wp14:anchorId="7EE8DF9D" wp14:editId="46D79613">
            <wp:extent cx="5612126" cy="99174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eastAsia="en-AU"/>
        </w:rPr>
        <mc:AlternateContent>
          <mc:Choice Requires="wps">
            <w:drawing>
              <wp:anchor distT="0" distB="0" distL="114300" distR="114300" simplePos="0" relativeHeight="251659264" behindDoc="0" locked="1" layoutInCell="1" allowOverlap="1" wp14:anchorId="57A54379" wp14:editId="462DAD96">
                <wp:simplePos x="0" y="0"/>
                <wp:positionH relativeFrom="page">
                  <wp:posOffset>914400</wp:posOffset>
                </wp:positionH>
                <wp:positionV relativeFrom="page">
                  <wp:posOffset>819150</wp:posOffset>
                </wp:positionV>
                <wp:extent cx="3068955" cy="1086485"/>
                <wp:effectExtent l="0" t="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EAE7" w14:textId="2066947D" w:rsidR="003970E3" w:rsidRPr="004E23ED" w:rsidRDefault="003970E3" w:rsidP="004E23ED">
                            <w:pPr>
                              <w:spacing w:before="240"/>
                              <w:rPr>
                                <w:rFonts w:asciiTheme="majorHAnsi" w:hAnsiTheme="majorHAnsi" w:cstheme="majorHAnsi"/>
                                <w:color w:val="FFFFFF" w:themeColor="background1"/>
                                <w:sz w:val="30"/>
                                <w:szCs w:val="30"/>
                              </w:rPr>
                            </w:pPr>
                            <w:r w:rsidRPr="003970E3">
                              <w:rPr>
                                <w:rFonts w:asciiTheme="minorHAnsi" w:hAnsiTheme="minorHAnsi" w:cstheme="minorHAnsi"/>
                                <w:b/>
                                <w:bCs/>
                                <w:color w:val="FFFFFF" w:themeColor="background1"/>
                                <w:sz w:val="40"/>
                                <w:szCs w:val="40"/>
                              </w:rPr>
                              <w:t xml:space="preserve">Child </w:t>
                            </w:r>
                            <w:r>
                              <w:rPr>
                                <w:rFonts w:asciiTheme="minorHAnsi" w:hAnsiTheme="minorHAnsi" w:cstheme="minorHAnsi"/>
                                <w:b/>
                                <w:bCs/>
                                <w:color w:val="FFFFFF" w:themeColor="background1"/>
                                <w:sz w:val="40"/>
                                <w:szCs w:val="40"/>
                              </w:rPr>
                              <w:t>Abuse Support Resource 2</w:t>
                            </w:r>
                          </w:p>
                          <w:p w14:paraId="4FB97E8D" w14:textId="77777777" w:rsidR="003970E3" w:rsidRPr="00485F31" w:rsidRDefault="003970E3" w:rsidP="003970E3">
                            <w:pPr>
                              <w:pStyle w:val="Heading1"/>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4379" id="Rectangle 3" o:spid="_x0000_s1027" style="position:absolute;margin-left:1in;margin-top:64.5pt;width:241.65pt;height:8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" filled="f" stroked="f">
                <v:textbox inset="4mm,3mm,2mm,0">
                  <w:txbxContent>
                    <w:p w14:paraId="2DCDEAE7" w14:textId="2066947D" w:rsidR="003970E3" w:rsidRPr="004E23ED" w:rsidRDefault="003970E3" w:rsidP="004E23ED">
                      <w:pPr>
                        <w:spacing w:before="240"/>
                        <w:rPr>
                          <w:rFonts w:asciiTheme="majorHAnsi" w:hAnsiTheme="majorHAnsi" w:cstheme="majorHAnsi"/>
                          <w:color w:val="FFFFFF" w:themeColor="background1"/>
                          <w:sz w:val="30"/>
                          <w:szCs w:val="30"/>
                        </w:rPr>
                      </w:pPr>
                      <w:r w:rsidRPr="003970E3">
                        <w:rPr>
                          <w:rFonts w:asciiTheme="minorHAnsi" w:hAnsiTheme="minorHAnsi" w:cstheme="minorHAnsi"/>
                          <w:b/>
                          <w:bCs/>
                          <w:color w:val="FFFFFF" w:themeColor="background1"/>
                          <w:sz w:val="40"/>
                          <w:szCs w:val="40"/>
                        </w:rPr>
                        <w:t xml:space="preserve">Child </w:t>
                      </w:r>
                      <w:r>
                        <w:rPr>
                          <w:rFonts w:asciiTheme="minorHAnsi" w:hAnsiTheme="minorHAnsi" w:cstheme="minorHAnsi"/>
                          <w:b/>
                          <w:bCs/>
                          <w:color w:val="FFFFFF" w:themeColor="background1"/>
                          <w:sz w:val="40"/>
                          <w:szCs w:val="40"/>
                        </w:rPr>
                        <w:t>Abuse Support Resource 2</w:t>
                      </w:r>
                    </w:p>
                    <w:p w14:paraId="4FB97E8D" w14:textId="77777777" w:rsidR="003970E3" w:rsidRPr="00485F31" w:rsidRDefault="003970E3" w:rsidP="003970E3">
                      <w:pPr>
                        <w:pStyle w:val="Heading1"/>
                      </w:pPr>
                    </w:p>
                  </w:txbxContent>
                </v:textbox>
                <w10:wrap anchorx="page" anchory="page"/>
                <w10:anchorlock/>
              </v:rect>
            </w:pict>
          </mc:Fallback>
        </mc:AlternateContent>
      </w:r>
      <w:bookmarkEnd w:id="0"/>
    </w:p>
    <w:p w14:paraId="59F4F479" w14:textId="63A33813" w:rsidR="002910F2" w:rsidRPr="003970E3" w:rsidRDefault="004E23ED" w:rsidP="003970E3">
      <w:pPr>
        <w:pStyle w:val="Heading3"/>
        <w:spacing w:before="240"/>
        <w:ind w:left="0" w:right="57"/>
        <w:rPr>
          <w:rFonts w:asciiTheme="minorHAnsi" w:hAnsiTheme="minorHAnsi" w:cstheme="minorHAnsi"/>
          <w:color w:val="00A8D6"/>
          <w:sz w:val="32"/>
          <w:szCs w:val="32"/>
        </w:rPr>
      </w:pPr>
      <w:r>
        <w:rPr>
          <w:rFonts w:asciiTheme="minorHAnsi" w:hAnsiTheme="minorHAnsi" w:cstheme="minorHAnsi"/>
          <w:color w:val="00A8D6"/>
          <w:sz w:val="32"/>
          <w:szCs w:val="32"/>
        </w:rPr>
        <w:t>Reporting c</w:t>
      </w:r>
      <w:r w:rsidR="00DF31FF">
        <w:rPr>
          <w:rFonts w:asciiTheme="minorHAnsi" w:hAnsiTheme="minorHAnsi" w:cstheme="minorHAnsi"/>
          <w:color w:val="00A8D6"/>
          <w:sz w:val="32"/>
          <w:szCs w:val="32"/>
        </w:rPr>
        <w:t>riteria – f</w:t>
      </w:r>
      <w:r w:rsidR="002910F2" w:rsidRPr="003970E3">
        <w:rPr>
          <w:rFonts w:asciiTheme="minorHAnsi" w:hAnsiTheme="minorHAnsi" w:cstheme="minorHAnsi"/>
          <w:color w:val="00A8D6"/>
          <w:sz w:val="32"/>
          <w:szCs w:val="32"/>
        </w:rPr>
        <w:t>ailure to</w:t>
      </w:r>
      <w:r>
        <w:rPr>
          <w:rFonts w:asciiTheme="minorHAnsi" w:hAnsiTheme="minorHAnsi" w:cstheme="minorHAnsi"/>
          <w:color w:val="00A8D6"/>
          <w:sz w:val="32"/>
          <w:szCs w:val="32"/>
        </w:rPr>
        <w:t xml:space="preserve"> d</w:t>
      </w:r>
      <w:r w:rsidR="002910F2" w:rsidRPr="003970E3">
        <w:rPr>
          <w:rFonts w:asciiTheme="minorHAnsi" w:hAnsiTheme="minorHAnsi" w:cstheme="minorHAnsi"/>
          <w:color w:val="00A8D6"/>
          <w:sz w:val="32"/>
          <w:szCs w:val="32"/>
        </w:rPr>
        <w:t>isclose</w:t>
      </w:r>
    </w:p>
    <w:p w14:paraId="2553B680" w14:textId="77777777" w:rsidR="002910F2" w:rsidRPr="002C2320" w:rsidRDefault="002910F2" w:rsidP="003970E3">
      <w:pPr>
        <w:pStyle w:val="BodyText"/>
        <w:spacing w:before="143" w:line="259" w:lineRule="auto"/>
        <w:ind w:right="59"/>
        <w:rPr>
          <w:color w:val="585858"/>
          <w:sz w:val="21"/>
          <w:szCs w:val="21"/>
        </w:rPr>
      </w:pPr>
      <w:r w:rsidRPr="002C2320">
        <w:rPr>
          <w:color w:val="585858"/>
          <w:sz w:val="21"/>
          <w:szCs w:val="21"/>
        </w:rPr>
        <w:t xml:space="preserve">In accordance with the </w:t>
      </w:r>
      <w:r w:rsidRPr="002C2320">
        <w:rPr>
          <w:i/>
          <w:color w:val="585858"/>
          <w:sz w:val="21"/>
          <w:szCs w:val="21"/>
        </w:rPr>
        <w:t xml:space="preserve">Crimes Act 1958 </w:t>
      </w:r>
      <w:r w:rsidRPr="002C2320">
        <w:rPr>
          <w:color w:val="585858"/>
          <w:sz w:val="21"/>
          <w:szCs w:val="21"/>
        </w:rPr>
        <w:t xml:space="preserve">(Vic.), this table sets out when to report a concern that a child or young person has been sexually abused or </w:t>
      </w:r>
      <w:proofErr w:type="gramStart"/>
      <w:r w:rsidRPr="002C2320">
        <w:rPr>
          <w:color w:val="585858"/>
          <w:sz w:val="21"/>
          <w:szCs w:val="21"/>
        </w:rPr>
        <w:t>is in need of</w:t>
      </w:r>
      <w:proofErr w:type="gramEnd"/>
      <w:r w:rsidRPr="002C2320">
        <w:rPr>
          <w:color w:val="585858"/>
          <w:sz w:val="21"/>
          <w:szCs w:val="21"/>
        </w:rPr>
        <w:t xml:space="preserve"> protection from sexual abuse.</w:t>
      </w:r>
    </w:p>
    <w:p w14:paraId="178D1F99" w14:textId="77777777" w:rsidR="002910F2" w:rsidRDefault="002910F2" w:rsidP="004E23ED">
      <w:pPr>
        <w:pStyle w:val="BodyText"/>
        <w:spacing w:before="10"/>
        <w:ind w:right="59"/>
        <w:rPr>
          <w:sz w:val="19"/>
        </w:rPr>
      </w:pPr>
    </w:p>
    <w:tbl>
      <w:tblPr>
        <w:tblW w:w="8931" w:type="dxa"/>
        <w:tblBorders>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5952"/>
        <w:gridCol w:w="1560"/>
        <w:gridCol w:w="1419"/>
      </w:tblGrid>
      <w:tr w:rsidR="003970E3" w:rsidRPr="003970E3" w14:paraId="6ED1E583" w14:textId="77777777" w:rsidTr="003970E3">
        <w:trPr>
          <w:trHeight w:val="529"/>
          <w:tblHeader/>
        </w:trPr>
        <w:tc>
          <w:tcPr>
            <w:tcW w:w="5952" w:type="dxa"/>
            <w:tcBorders>
              <w:top w:val="nil"/>
              <w:bottom w:val="nil"/>
            </w:tcBorders>
            <w:shd w:val="clear" w:color="auto" w:fill="00A8D6"/>
            <w:vAlign w:val="center"/>
          </w:tcPr>
          <w:p w14:paraId="1C01F4EB" w14:textId="6A412385" w:rsidR="002910F2" w:rsidRPr="004E23ED" w:rsidRDefault="004E23ED" w:rsidP="002C2320">
            <w:pPr>
              <w:pStyle w:val="TableParagraph"/>
              <w:ind w:left="113" w:right="128"/>
              <w:rPr>
                <w:b/>
                <w:color w:val="FFFFFF" w:themeColor="background1"/>
              </w:rPr>
            </w:pPr>
            <w:r>
              <w:rPr>
                <w:b/>
                <w:color w:val="FFFFFF" w:themeColor="background1"/>
              </w:rPr>
              <w:t>Type of r</w:t>
            </w:r>
            <w:r w:rsidR="002910F2" w:rsidRPr="004E23ED">
              <w:rPr>
                <w:b/>
                <w:color w:val="FFFFFF" w:themeColor="background1"/>
              </w:rPr>
              <w:t>eporting</w:t>
            </w:r>
          </w:p>
        </w:tc>
        <w:tc>
          <w:tcPr>
            <w:tcW w:w="1560" w:type="dxa"/>
            <w:tcBorders>
              <w:top w:val="nil"/>
              <w:bottom w:val="nil"/>
            </w:tcBorders>
            <w:shd w:val="clear" w:color="auto" w:fill="00A8D6"/>
            <w:vAlign w:val="center"/>
          </w:tcPr>
          <w:p w14:paraId="121DA807" w14:textId="187EC2F3" w:rsidR="002910F2" w:rsidRPr="004E23ED" w:rsidRDefault="002910F2" w:rsidP="003970E3">
            <w:pPr>
              <w:pStyle w:val="TableParagraph"/>
              <w:ind w:left="113"/>
              <w:rPr>
                <w:b/>
                <w:color w:val="FFFFFF" w:themeColor="background1"/>
              </w:rPr>
            </w:pPr>
            <w:r w:rsidRPr="004E23ED">
              <w:rPr>
                <w:b/>
                <w:color w:val="FFFFFF" w:themeColor="background1"/>
              </w:rPr>
              <w:t xml:space="preserve">By </w:t>
            </w:r>
            <w:r w:rsidR="003970E3" w:rsidRPr="004E23ED">
              <w:rPr>
                <w:b/>
                <w:color w:val="FFFFFF" w:themeColor="background1"/>
              </w:rPr>
              <w:t>w</w:t>
            </w:r>
            <w:r w:rsidRPr="004E23ED">
              <w:rPr>
                <w:b/>
                <w:color w:val="FFFFFF" w:themeColor="background1"/>
              </w:rPr>
              <w:t>hom</w:t>
            </w:r>
          </w:p>
        </w:tc>
        <w:tc>
          <w:tcPr>
            <w:tcW w:w="1419" w:type="dxa"/>
            <w:tcBorders>
              <w:top w:val="nil"/>
              <w:bottom w:val="nil"/>
            </w:tcBorders>
            <w:shd w:val="clear" w:color="auto" w:fill="00A8D6"/>
            <w:vAlign w:val="center"/>
          </w:tcPr>
          <w:p w14:paraId="16C3C10E" w14:textId="57AA7AC8" w:rsidR="002910F2" w:rsidRPr="004E23ED" w:rsidRDefault="002910F2" w:rsidP="003970E3">
            <w:pPr>
              <w:pStyle w:val="TableParagraph"/>
              <w:ind w:left="113"/>
              <w:rPr>
                <w:b/>
                <w:color w:val="FFFFFF" w:themeColor="background1"/>
              </w:rPr>
            </w:pPr>
            <w:r w:rsidRPr="004E23ED">
              <w:rPr>
                <w:b/>
                <w:color w:val="FFFFFF" w:themeColor="background1"/>
              </w:rPr>
              <w:t xml:space="preserve">To </w:t>
            </w:r>
            <w:r w:rsidR="003970E3" w:rsidRPr="004E23ED">
              <w:rPr>
                <w:b/>
                <w:color w:val="FFFFFF" w:themeColor="background1"/>
              </w:rPr>
              <w:t>w</w:t>
            </w:r>
            <w:r w:rsidRPr="004E23ED">
              <w:rPr>
                <w:b/>
                <w:color w:val="FFFFFF" w:themeColor="background1"/>
              </w:rPr>
              <w:t>hom</w:t>
            </w:r>
          </w:p>
        </w:tc>
      </w:tr>
      <w:tr w:rsidR="002910F2" w:rsidRPr="003970E3" w14:paraId="6D9224A0" w14:textId="77777777" w:rsidTr="003970E3">
        <w:tc>
          <w:tcPr>
            <w:tcW w:w="5952" w:type="dxa"/>
            <w:tcBorders>
              <w:top w:val="nil"/>
              <w:bottom w:val="nil"/>
            </w:tcBorders>
          </w:tcPr>
          <w:p w14:paraId="055ED1F9" w14:textId="77777777" w:rsidR="002910F2" w:rsidRPr="003970E3" w:rsidRDefault="002910F2" w:rsidP="002C2320">
            <w:pPr>
              <w:pStyle w:val="TableParagraph"/>
              <w:ind w:left="113" w:right="128"/>
              <w:rPr>
                <w:b/>
                <w:i/>
                <w:color w:val="585858"/>
                <w:sz w:val="21"/>
                <w:szCs w:val="21"/>
              </w:rPr>
            </w:pPr>
            <w:r w:rsidRPr="003970E3">
              <w:rPr>
                <w:b/>
                <w:i/>
                <w:color w:val="585858"/>
                <w:sz w:val="21"/>
                <w:szCs w:val="21"/>
              </w:rPr>
              <w:t>Reasonable belief that a sexual offence has been committed by an adult against a child under 16.</w:t>
            </w:r>
          </w:p>
          <w:p w14:paraId="21A9E8D8" w14:textId="77777777" w:rsidR="002910F2" w:rsidRPr="003970E3" w:rsidRDefault="002910F2" w:rsidP="002C2320">
            <w:pPr>
              <w:pStyle w:val="TableParagraph"/>
              <w:spacing w:before="120"/>
              <w:ind w:left="113" w:right="128"/>
              <w:rPr>
                <w:color w:val="585858"/>
                <w:sz w:val="21"/>
                <w:szCs w:val="21"/>
              </w:rPr>
            </w:pPr>
            <w:r w:rsidRPr="003970E3">
              <w:rPr>
                <w:color w:val="585858"/>
                <w:sz w:val="21"/>
                <w:szCs w:val="21"/>
              </w:rPr>
              <w:t>Any adult who forms a reasonable belief that a sexual offence has been committed in Victoria by an adult against a child under 16 must report that information to Victoria Police.</w:t>
            </w:r>
          </w:p>
          <w:p w14:paraId="0E566077" w14:textId="77777777" w:rsidR="002910F2" w:rsidRPr="003970E3" w:rsidRDefault="002910F2" w:rsidP="002C2320">
            <w:pPr>
              <w:pStyle w:val="TableParagraph"/>
              <w:spacing w:before="118"/>
              <w:ind w:left="113" w:right="128"/>
              <w:rPr>
                <w:color w:val="585858"/>
                <w:sz w:val="21"/>
                <w:szCs w:val="21"/>
              </w:rPr>
            </w:pPr>
            <w:r w:rsidRPr="003970E3">
              <w:rPr>
                <w:color w:val="585858"/>
                <w:sz w:val="21"/>
                <w:szCs w:val="21"/>
              </w:rPr>
              <w:t>You will not be guilty of an offence if you do not report in the following circumstances:</w:t>
            </w:r>
          </w:p>
          <w:p w14:paraId="22BF7F56" w14:textId="77777777" w:rsidR="002910F2" w:rsidRPr="003970E3" w:rsidRDefault="002910F2" w:rsidP="006F26B7">
            <w:pPr>
              <w:pStyle w:val="TableParagraph"/>
              <w:numPr>
                <w:ilvl w:val="0"/>
                <w:numId w:val="4"/>
              </w:numPr>
              <w:tabs>
                <w:tab w:val="left" w:pos="674"/>
                <w:tab w:val="left" w:pos="675"/>
              </w:tabs>
              <w:spacing w:before="119"/>
              <w:ind w:left="470" w:right="130" w:hanging="357"/>
              <w:rPr>
                <w:color w:val="585858"/>
                <w:sz w:val="21"/>
                <w:szCs w:val="21"/>
              </w:rPr>
            </w:pPr>
            <w:r w:rsidRPr="003970E3">
              <w:rPr>
                <w:color w:val="585858"/>
                <w:sz w:val="21"/>
                <w:szCs w:val="21"/>
              </w:rPr>
              <w:t>The victim is 16 years of age or older and does not want the information reported to Victoria Police. However, this exception does not apply where the victim is aged under 16 years, or is aged over 16 years and has an intellectual disability and does not have the capacity to make an informed decision about whether or not to</w:t>
            </w:r>
            <w:r w:rsidRPr="003970E3">
              <w:rPr>
                <w:color w:val="585858"/>
                <w:spacing w:val="-6"/>
                <w:sz w:val="21"/>
                <w:szCs w:val="21"/>
              </w:rPr>
              <w:t xml:space="preserve"> </w:t>
            </w:r>
            <w:r w:rsidRPr="003970E3">
              <w:rPr>
                <w:color w:val="585858"/>
                <w:sz w:val="21"/>
                <w:szCs w:val="21"/>
              </w:rPr>
              <w:t>report.</w:t>
            </w:r>
          </w:p>
          <w:p w14:paraId="6A1B0091" w14:textId="69C5F57B" w:rsidR="002910F2" w:rsidRPr="003970E3" w:rsidRDefault="002910F2" w:rsidP="006F26B7">
            <w:pPr>
              <w:pStyle w:val="TableParagraph"/>
              <w:numPr>
                <w:ilvl w:val="0"/>
                <w:numId w:val="4"/>
              </w:numPr>
              <w:tabs>
                <w:tab w:val="left" w:pos="674"/>
                <w:tab w:val="left" w:pos="675"/>
              </w:tabs>
              <w:spacing w:before="122"/>
              <w:ind w:left="470" w:right="130" w:hanging="357"/>
              <w:rPr>
                <w:color w:val="585858"/>
                <w:sz w:val="21"/>
                <w:szCs w:val="21"/>
              </w:rPr>
            </w:pPr>
            <w:r w:rsidRPr="003970E3">
              <w:rPr>
                <w:color w:val="585858"/>
                <w:sz w:val="21"/>
                <w:szCs w:val="21"/>
              </w:rPr>
              <w:t>The victim has disclosed the information in confidence in the course of a therapeutic relationship with you as a registered medical practitioner, counsellor or in a religious confession to a member of the clergy. A ‘counsellor’ is a person who is treating a person for an emotional or psychological</w:t>
            </w:r>
            <w:r w:rsidRPr="003970E3">
              <w:rPr>
                <w:color w:val="585858"/>
                <w:spacing w:val="-15"/>
                <w:sz w:val="21"/>
                <w:szCs w:val="21"/>
              </w:rPr>
              <w:t xml:space="preserve"> </w:t>
            </w:r>
            <w:r w:rsidRPr="003970E3">
              <w:rPr>
                <w:color w:val="585858"/>
                <w:sz w:val="21"/>
                <w:szCs w:val="21"/>
              </w:rPr>
              <w:t>condition.</w:t>
            </w:r>
          </w:p>
        </w:tc>
        <w:tc>
          <w:tcPr>
            <w:tcW w:w="1560" w:type="dxa"/>
            <w:tcBorders>
              <w:top w:val="nil"/>
              <w:bottom w:val="nil"/>
            </w:tcBorders>
          </w:tcPr>
          <w:p w14:paraId="28F19E08" w14:textId="77777777" w:rsidR="002910F2" w:rsidRPr="003970E3" w:rsidRDefault="002910F2" w:rsidP="003970E3">
            <w:pPr>
              <w:pStyle w:val="TableParagraph"/>
              <w:ind w:left="113" w:right="458"/>
              <w:rPr>
                <w:color w:val="585858"/>
                <w:sz w:val="21"/>
                <w:szCs w:val="21"/>
              </w:rPr>
            </w:pPr>
            <w:r w:rsidRPr="003970E3">
              <w:rPr>
                <w:color w:val="585858"/>
                <w:sz w:val="21"/>
                <w:szCs w:val="21"/>
              </w:rPr>
              <w:t>Any person aged 18 or over</w:t>
            </w:r>
          </w:p>
        </w:tc>
        <w:tc>
          <w:tcPr>
            <w:tcW w:w="1419" w:type="dxa"/>
            <w:tcBorders>
              <w:top w:val="nil"/>
              <w:bottom w:val="nil"/>
            </w:tcBorders>
          </w:tcPr>
          <w:p w14:paraId="58486D33" w14:textId="5F24BD4E" w:rsidR="002910F2" w:rsidRPr="006F26B7" w:rsidRDefault="00674795" w:rsidP="003970E3">
            <w:pPr>
              <w:pStyle w:val="TableParagraph"/>
              <w:ind w:left="113"/>
              <w:rPr>
                <w:rStyle w:val="Hyperlink"/>
                <w:sz w:val="21"/>
                <w:szCs w:val="21"/>
              </w:rPr>
            </w:pPr>
            <w:hyperlink r:id="rId9">
              <w:r w:rsidR="002910F2" w:rsidRPr="006F26B7">
                <w:rPr>
                  <w:rStyle w:val="Hyperlink"/>
                  <w:sz w:val="21"/>
                  <w:szCs w:val="21"/>
                </w:rPr>
                <w:t>Victoria Police</w:t>
              </w:r>
            </w:hyperlink>
          </w:p>
        </w:tc>
      </w:tr>
      <w:tr w:rsidR="002910F2" w:rsidRPr="003970E3" w14:paraId="575EEC69" w14:textId="77777777" w:rsidTr="002C2320">
        <w:trPr>
          <w:trHeight w:val="4972"/>
        </w:trPr>
        <w:tc>
          <w:tcPr>
            <w:tcW w:w="5952" w:type="dxa"/>
            <w:tcBorders>
              <w:top w:val="nil"/>
              <w:bottom w:val="single" w:sz="4" w:space="0" w:color="808080" w:themeColor="background1" w:themeShade="80"/>
            </w:tcBorders>
          </w:tcPr>
          <w:p w14:paraId="5F26FC5D" w14:textId="77777777" w:rsidR="003970E3" w:rsidRPr="003970E3" w:rsidRDefault="003970E3" w:rsidP="002C2320">
            <w:pPr>
              <w:pStyle w:val="TableParagraph"/>
              <w:spacing w:before="118"/>
              <w:ind w:left="113" w:right="128"/>
              <w:rPr>
                <w:b/>
                <w:color w:val="585858"/>
                <w:sz w:val="21"/>
                <w:szCs w:val="21"/>
              </w:rPr>
            </w:pPr>
            <w:r w:rsidRPr="003970E3">
              <w:rPr>
                <w:b/>
                <w:color w:val="585858"/>
                <w:sz w:val="21"/>
                <w:szCs w:val="21"/>
              </w:rPr>
              <w:t xml:space="preserve">Please note that mandatory reporting obligations under the </w:t>
            </w:r>
            <w:r w:rsidRPr="003970E3">
              <w:rPr>
                <w:b/>
                <w:i/>
                <w:color w:val="585858"/>
                <w:sz w:val="21"/>
                <w:szCs w:val="21"/>
              </w:rPr>
              <w:t xml:space="preserve">Children, Youth and Families Act 2005 </w:t>
            </w:r>
            <w:r w:rsidRPr="003970E3">
              <w:rPr>
                <w:b/>
                <w:color w:val="585858"/>
                <w:sz w:val="21"/>
                <w:szCs w:val="21"/>
              </w:rPr>
              <w:t xml:space="preserve">(Vic.) may override the exceptions to making a disclosure under the </w:t>
            </w:r>
            <w:r w:rsidRPr="003970E3">
              <w:rPr>
                <w:b/>
                <w:i/>
                <w:color w:val="585858"/>
                <w:sz w:val="21"/>
                <w:szCs w:val="21"/>
              </w:rPr>
              <w:t xml:space="preserve">Crimes Act 1958 </w:t>
            </w:r>
            <w:r w:rsidRPr="003970E3">
              <w:rPr>
                <w:b/>
                <w:color w:val="585858"/>
                <w:sz w:val="21"/>
                <w:szCs w:val="21"/>
              </w:rPr>
              <w:t>(Vic.).</w:t>
            </w:r>
          </w:p>
          <w:p w14:paraId="75AC7458" w14:textId="218D158F" w:rsidR="003970E3" w:rsidRPr="003970E3" w:rsidRDefault="003970E3" w:rsidP="002C2320">
            <w:pPr>
              <w:pStyle w:val="TableParagraph"/>
              <w:spacing w:before="122"/>
              <w:ind w:left="113" w:right="128"/>
              <w:rPr>
                <w:color w:val="585858"/>
                <w:sz w:val="21"/>
                <w:szCs w:val="21"/>
              </w:rPr>
            </w:pPr>
            <w:r w:rsidRPr="003970E3">
              <w:rPr>
                <w:color w:val="585858"/>
                <w:sz w:val="21"/>
                <w:szCs w:val="21"/>
              </w:rPr>
              <w:t xml:space="preserve">The National Catholic Education Commission (NCEC) </w:t>
            </w:r>
            <w:hyperlink r:id="rId10" w:history="1">
              <w:r w:rsidRPr="006F26B7">
                <w:rPr>
                  <w:rStyle w:val="Hyperlink"/>
                  <w:sz w:val="21"/>
                  <w:szCs w:val="21"/>
                </w:rPr>
                <w:t>Privacy Compliance Manual</w:t>
              </w:r>
            </w:hyperlink>
            <w:r w:rsidR="00DF31FF" w:rsidRPr="008C6D80">
              <w:rPr>
                <w:color w:val="585858"/>
                <w:sz w:val="21"/>
                <w:szCs w:val="21"/>
              </w:rPr>
              <w:t xml:space="preserve"> </w:t>
            </w:r>
            <w:r w:rsidRPr="003970E3">
              <w:rPr>
                <w:color w:val="585858"/>
                <w:sz w:val="21"/>
                <w:szCs w:val="21"/>
              </w:rPr>
              <w:t xml:space="preserve">(updated by the Catholic Education Commission of Victoria Ltd </w:t>
            </w:r>
            <w:r w:rsidR="00DF31FF">
              <w:rPr>
                <w:color w:val="585858"/>
                <w:sz w:val="21"/>
                <w:szCs w:val="21"/>
              </w:rPr>
              <w:t>(</w:t>
            </w:r>
            <w:r w:rsidRPr="003970E3">
              <w:rPr>
                <w:color w:val="585858"/>
                <w:sz w:val="21"/>
                <w:szCs w:val="21"/>
              </w:rPr>
              <w:t>CECV</w:t>
            </w:r>
            <w:r w:rsidR="00DF31FF">
              <w:rPr>
                <w:color w:val="585858"/>
                <w:sz w:val="21"/>
                <w:szCs w:val="21"/>
              </w:rPr>
              <w:t>) in February 2020</w:t>
            </w:r>
            <w:r w:rsidRPr="003970E3">
              <w:rPr>
                <w:color w:val="585858"/>
                <w:sz w:val="21"/>
                <w:szCs w:val="21"/>
              </w:rPr>
              <w:t>) also provides details relating to the role of school counsellors and their obligations to students, the schools at which the students are enrolled and the parents of those students (refer to Section 25).</w:t>
            </w:r>
          </w:p>
          <w:p w14:paraId="4A3B86A5" w14:textId="6A67579B" w:rsidR="002910F2" w:rsidRPr="003970E3" w:rsidRDefault="003970E3" w:rsidP="002C2320">
            <w:pPr>
              <w:pStyle w:val="TableParagraph"/>
              <w:spacing w:before="117"/>
              <w:ind w:left="113" w:right="128"/>
              <w:rPr>
                <w:sz w:val="21"/>
                <w:szCs w:val="21"/>
              </w:rPr>
            </w:pPr>
            <w:r w:rsidRPr="003970E3">
              <w:rPr>
                <w:color w:val="585858"/>
                <w:sz w:val="21"/>
                <w:szCs w:val="21"/>
              </w:rPr>
              <w:t>Where it is necessary for school counsellors to directly pass on information which relates to the wellbeing of a student at a school, this information must be conveyed to a person (i.e. school principal) who has a legal obligation to receive it without betraying a confidence (Section 25.3). A mandatory report may then need to be made by the person who receives the information (e.g. the school principal).</w:t>
            </w:r>
          </w:p>
        </w:tc>
        <w:tc>
          <w:tcPr>
            <w:tcW w:w="1560" w:type="dxa"/>
            <w:tcBorders>
              <w:top w:val="nil"/>
            </w:tcBorders>
          </w:tcPr>
          <w:p w14:paraId="68A931AB" w14:textId="77777777" w:rsidR="002910F2" w:rsidRPr="003970E3" w:rsidRDefault="002910F2" w:rsidP="00CC6AB1">
            <w:pPr>
              <w:pStyle w:val="TableParagraph"/>
              <w:rPr>
                <w:rFonts w:ascii="Times New Roman"/>
                <w:sz w:val="21"/>
                <w:szCs w:val="21"/>
              </w:rPr>
            </w:pPr>
          </w:p>
        </w:tc>
        <w:tc>
          <w:tcPr>
            <w:tcW w:w="1419" w:type="dxa"/>
            <w:tcBorders>
              <w:top w:val="nil"/>
            </w:tcBorders>
          </w:tcPr>
          <w:p w14:paraId="3DE36322" w14:textId="77777777" w:rsidR="002910F2" w:rsidRPr="003970E3" w:rsidRDefault="002910F2" w:rsidP="00CC6AB1">
            <w:pPr>
              <w:pStyle w:val="TableParagraph"/>
              <w:rPr>
                <w:rFonts w:ascii="Times New Roman"/>
                <w:sz w:val="21"/>
                <w:szCs w:val="21"/>
              </w:rPr>
            </w:pPr>
          </w:p>
        </w:tc>
      </w:tr>
      <w:tr w:rsidR="003970E3" w14:paraId="0AF8DE25" w14:textId="77777777" w:rsidTr="002C2320">
        <w:trPr>
          <w:trHeight w:val="3109"/>
        </w:trPr>
        <w:tc>
          <w:tcPr>
            <w:tcW w:w="5952" w:type="dxa"/>
            <w:tcBorders>
              <w:top w:val="single" w:sz="4" w:space="0" w:color="808080" w:themeColor="background1" w:themeShade="80"/>
              <w:bottom w:val="single" w:sz="4" w:space="0" w:color="808080" w:themeColor="background1" w:themeShade="80"/>
            </w:tcBorders>
          </w:tcPr>
          <w:p w14:paraId="1BF6033A" w14:textId="5FFC8C0B" w:rsidR="003970E3" w:rsidRPr="003970E3" w:rsidRDefault="003970E3" w:rsidP="004E23ED">
            <w:pPr>
              <w:pStyle w:val="TableParagraph"/>
              <w:spacing w:before="121"/>
              <w:ind w:left="113" w:right="128"/>
              <w:rPr>
                <w:color w:val="585858"/>
                <w:sz w:val="21"/>
                <w:szCs w:val="21"/>
              </w:rPr>
            </w:pPr>
            <w:r w:rsidRPr="003970E3">
              <w:rPr>
                <w:color w:val="585858"/>
                <w:sz w:val="21"/>
                <w:szCs w:val="21"/>
              </w:rPr>
              <w:lastRenderedPageBreak/>
              <w:t>Reasonable excuses for failing to report to Victoria Police any reasonable belief that a sexual offence has been committed in Victoria by an adult against a child under 16 include:</w:t>
            </w:r>
          </w:p>
          <w:p w14:paraId="70D17644" w14:textId="19EC5E9A" w:rsidR="003970E3" w:rsidRPr="006F26B7" w:rsidRDefault="003970E3" w:rsidP="006F26B7">
            <w:pPr>
              <w:pStyle w:val="TableParagraph"/>
              <w:numPr>
                <w:ilvl w:val="0"/>
                <w:numId w:val="3"/>
              </w:numPr>
              <w:ind w:left="470" w:right="130" w:hanging="357"/>
              <w:rPr>
                <w:color w:val="585858"/>
                <w:sz w:val="21"/>
                <w:szCs w:val="21"/>
              </w:rPr>
            </w:pPr>
            <w:r w:rsidRPr="006F26B7">
              <w:rPr>
                <w:color w:val="585858"/>
                <w:sz w:val="21"/>
                <w:szCs w:val="21"/>
              </w:rPr>
              <w:t>a reasonable belief that the information has already</w:t>
            </w:r>
            <w:r w:rsidRPr="006F26B7">
              <w:rPr>
                <w:color w:val="585858"/>
                <w:spacing w:val="-10"/>
                <w:sz w:val="21"/>
                <w:szCs w:val="21"/>
              </w:rPr>
              <w:t xml:space="preserve"> </w:t>
            </w:r>
            <w:r w:rsidRPr="006F26B7">
              <w:rPr>
                <w:color w:val="585858"/>
                <w:sz w:val="21"/>
                <w:szCs w:val="21"/>
              </w:rPr>
              <w:t>been reported to Victoria Police or disclosed to DHHS Child Protection</w:t>
            </w:r>
          </w:p>
          <w:p w14:paraId="2EB2FD86" w14:textId="77777777" w:rsidR="003970E3" w:rsidRPr="006F26B7" w:rsidRDefault="003970E3" w:rsidP="006F26B7">
            <w:pPr>
              <w:pStyle w:val="TableParagraph"/>
              <w:numPr>
                <w:ilvl w:val="0"/>
                <w:numId w:val="3"/>
              </w:numPr>
              <w:tabs>
                <w:tab w:val="left" w:pos="674"/>
                <w:tab w:val="left" w:pos="675"/>
              </w:tabs>
              <w:ind w:left="470" w:right="130" w:hanging="357"/>
              <w:rPr>
                <w:color w:val="585858"/>
                <w:sz w:val="21"/>
                <w:szCs w:val="21"/>
              </w:rPr>
            </w:pPr>
            <w:r w:rsidRPr="006F26B7">
              <w:rPr>
                <w:color w:val="585858"/>
                <w:sz w:val="21"/>
                <w:szCs w:val="21"/>
              </w:rPr>
              <w:t>the victim turned 16 years of age before 27 October</w:t>
            </w:r>
            <w:r w:rsidRPr="006F26B7">
              <w:rPr>
                <w:color w:val="585858"/>
                <w:spacing w:val="-15"/>
                <w:sz w:val="21"/>
                <w:szCs w:val="21"/>
              </w:rPr>
              <w:t xml:space="preserve"> </w:t>
            </w:r>
            <w:r w:rsidRPr="006F26B7">
              <w:rPr>
                <w:color w:val="585858"/>
                <w:sz w:val="21"/>
                <w:szCs w:val="21"/>
              </w:rPr>
              <w:t>2014</w:t>
            </w:r>
          </w:p>
          <w:p w14:paraId="7CC5720D" w14:textId="23B4CA09" w:rsidR="003970E3" w:rsidRDefault="003970E3" w:rsidP="006F26B7">
            <w:pPr>
              <w:pStyle w:val="TableParagraph"/>
              <w:numPr>
                <w:ilvl w:val="0"/>
                <w:numId w:val="3"/>
              </w:numPr>
              <w:ind w:left="470" w:right="130" w:hanging="357"/>
            </w:pPr>
            <w:r w:rsidRPr="006F26B7">
              <w:rPr>
                <w:color w:val="585858"/>
                <w:sz w:val="21"/>
                <w:szCs w:val="21"/>
              </w:rPr>
              <w:t>a reasonable fear that the disclosure will place someone (other than the alleged perpetrator) at risk of</w:t>
            </w:r>
            <w:r w:rsidRPr="006F26B7">
              <w:rPr>
                <w:color w:val="585858"/>
                <w:spacing w:val="-7"/>
                <w:sz w:val="21"/>
                <w:szCs w:val="21"/>
              </w:rPr>
              <w:t xml:space="preserve"> </w:t>
            </w:r>
            <w:r w:rsidRPr="006F26B7">
              <w:rPr>
                <w:color w:val="585858"/>
                <w:sz w:val="21"/>
                <w:szCs w:val="21"/>
              </w:rPr>
              <w:t>harm.</w:t>
            </w:r>
          </w:p>
        </w:tc>
        <w:tc>
          <w:tcPr>
            <w:tcW w:w="1560" w:type="dxa"/>
            <w:tcBorders>
              <w:top w:val="single" w:sz="4" w:space="0" w:color="808080" w:themeColor="background1" w:themeShade="80"/>
            </w:tcBorders>
          </w:tcPr>
          <w:p w14:paraId="3DB560D2" w14:textId="77777777" w:rsidR="003970E3" w:rsidRDefault="003970E3" w:rsidP="00CC6AB1">
            <w:pPr>
              <w:pStyle w:val="TableParagraph"/>
              <w:rPr>
                <w:rFonts w:ascii="Times New Roman"/>
              </w:rPr>
            </w:pPr>
          </w:p>
        </w:tc>
        <w:tc>
          <w:tcPr>
            <w:tcW w:w="1419" w:type="dxa"/>
            <w:tcBorders>
              <w:top w:val="single" w:sz="4" w:space="0" w:color="808080" w:themeColor="background1" w:themeShade="80"/>
            </w:tcBorders>
          </w:tcPr>
          <w:p w14:paraId="72503B1E" w14:textId="77777777" w:rsidR="003970E3" w:rsidRDefault="003970E3" w:rsidP="00CC6AB1">
            <w:pPr>
              <w:pStyle w:val="TableParagraph"/>
              <w:rPr>
                <w:rFonts w:ascii="Times New Roman"/>
              </w:rPr>
            </w:pPr>
          </w:p>
        </w:tc>
      </w:tr>
    </w:tbl>
    <w:p w14:paraId="6FA068E9" w14:textId="77777777" w:rsidR="00886CC9" w:rsidRDefault="00886CC9"/>
    <w:sectPr w:rsidR="00886CC9" w:rsidSect="003970E3">
      <w:footerReference w:type="default" r:id="rId11"/>
      <w:pgSz w:w="11910" w:h="16840" w:code="9"/>
      <w:pgMar w:top="1440" w:right="1440" w:bottom="1440" w:left="1440"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C0F0" w14:textId="77777777" w:rsidR="00674795" w:rsidRDefault="00674795">
      <w:r>
        <w:separator/>
      </w:r>
    </w:p>
  </w:endnote>
  <w:endnote w:type="continuationSeparator" w:id="0">
    <w:p w14:paraId="2CC309AA" w14:textId="77777777" w:rsidR="00674795" w:rsidRDefault="006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E94C" w14:textId="035F59A2" w:rsidR="004A5C73" w:rsidRPr="003970E3" w:rsidRDefault="003970E3" w:rsidP="003970E3">
    <w:pPr>
      <w:pStyle w:val="BodyCopy"/>
      <w:tabs>
        <w:tab w:val="right" w:pos="8789"/>
      </w:tabs>
      <w:rPr>
        <w:sz w:val="16"/>
        <w:szCs w:val="16"/>
      </w:rPr>
    </w:pPr>
    <w:r w:rsidRPr="003970E3">
      <w:rPr>
        <w:rFonts w:asciiTheme="minorHAnsi" w:hAnsiTheme="minorHAnsi" w:cstheme="minorHAnsi"/>
        <w:b/>
        <w:noProof/>
        <w:sz w:val="16"/>
        <w:szCs w:val="16"/>
        <w:lang w:val="en-AU" w:eastAsia="en-AU"/>
      </w:rPr>
      <mc:AlternateContent>
        <mc:Choice Requires="wps">
          <w:drawing>
            <wp:anchor distT="0" distB="0" distL="114300" distR="114300" simplePos="0" relativeHeight="251659264" behindDoc="0" locked="0" layoutInCell="1" allowOverlap="1" wp14:anchorId="429D0649" wp14:editId="1D06FC68">
              <wp:simplePos x="0" y="0"/>
              <wp:positionH relativeFrom="column">
                <wp:posOffset>5715</wp:posOffset>
              </wp:positionH>
              <wp:positionV relativeFrom="paragraph">
                <wp:posOffset>-172720</wp:posOffset>
              </wp:positionV>
              <wp:extent cx="5612765"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7D403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" strokecolor="gray [1629]" strokeweight=".25pt">
              <v:stroke joinstyle="miter"/>
            </v:line>
          </w:pict>
        </mc:Fallback>
      </mc:AlternateContent>
    </w:r>
    <w:r w:rsidRPr="003970E3">
      <w:rPr>
        <w:rFonts w:asciiTheme="minorHAnsi" w:hAnsiTheme="minorHAnsi" w:cstheme="minorHAnsi"/>
        <w:b/>
        <w:sz w:val="16"/>
        <w:szCs w:val="16"/>
      </w:rPr>
      <w:t>MACS Child Safety Framework</w:t>
    </w:r>
    <w:r w:rsidR="004E23ED">
      <w:rPr>
        <w:rFonts w:asciiTheme="minorHAnsi" w:hAnsiTheme="minorHAnsi" w:cstheme="minorHAnsi"/>
        <w:sz w:val="16"/>
        <w:szCs w:val="16"/>
      </w:rPr>
      <w:t xml:space="preserve"> | </w:t>
    </w:r>
    <w:r w:rsidR="00665A2F">
      <w:rPr>
        <w:rFonts w:asciiTheme="minorHAnsi" w:hAnsiTheme="minorHAnsi" w:cstheme="minorHAnsi"/>
        <w:sz w:val="16"/>
        <w:szCs w:val="16"/>
      </w:rPr>
      <w:t>Draft | 1</w:t>
    </w:r>
    <w:r w:rsidRPr="003970E3">
      <w:rPr>
        <w:rFonts w:asciiTheme="minorHAnsi" w:hAnsiTheme="minorHAnsi" w:cstheme="minorHAnsi"/>
        <w:sz w:val="16"/>
        <w:szCs w:val="16"/>
      </w:rPr>
      <w:t xml:space="preserve"> </w:t>
    </w:r>
    <w:r w:rsidR="00665A2F">
      <w:rPr>
        <w:rFonts w:asciiTheme="minorHAnsi" w:hAnsiTheme="minorHAnsi" w:cstheme="minorHAnsi"/>
        <w:sz w:val="16"/>
        <w:szCs w:val="16"/>
      </w:rPr>
      <w:t>March</w:t>
    </w:r>
    <w:r w:rsidRPr="003970E3">
      <w:rPr>
        <w:rFonts w:asciiTheme="minorHAnsi" w:hAnsiTheme="minorHAnsi" w:cstheme="minorHAnsi"/>
        <w:sz w:val="16"/>
        <w:szCs w:val="16"/>
      </w:rPr>
      <w:t xml:space="preserve"> 2021</w:t>
    </w:r>
    <w:r w:rsidRPr="003B26A9">
      <w:rPr>
        <w:sz w:val="16"/>
        <w:szCs w:val="16"/>
      </w:rPr>
      <w:tab/>
      <w:t xml:space="preserve">Page </w:t>
    </w:r>
    <w:r w:rsidRPr="003B26A9">
      <w:rPr>
        <w:rStyle w:val="PageNumber"/>
        <w:sz w:val="16"/>
        <w:szCs w:val="16"/>
      </w:rPr>
      <w:fldChar w:fldCharType="begin"/>
    </w:r>
    <w:r w:rsidRPr="003B26A9">
      <w:rPr>
        <w:rStyle w:val="PageNumber"/>
        <w:sz w:val="16"/>
        <w:szCs w:val="16"/>
      </w:rPr>
      <w:instrText xml:space="preserve"> PAGE </w:instrText>
    </w:r>
    <w:r w:rsidRPr="003B26A9">
      <w:rPr>
        <w:rStyle w:val="PageNumber"/>
        <w:sz w:val="16"/>
        <w:szCs w:val="16"/>
      </w:rPr>
      <w:fldChar w:fldCharType="separate"/>
    </w:r>
    <w:r w:rsidR="00665A2F">
      <w:rPr>
        <w:rStyle w:val="PageNumber"/>
        <w:noProof/>
        <w:sz w:val="16"/>
        <w:szCs w:val="16"/>
      </w:rPr>
      <w:t>2</w:t>
    </w:r>
    <w:r w:rsidRPr="003B26A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F16A" w14:textId="77777777" w:rsidR="00674795" w:rsidRDefault="00674795">
      <w:r>
        <w:separator/>
      </w:r>
    </w:p>
  </w:footnote>
  <w:footnote w:type="continuationSeparator" w:id="0">
    <w:p w14:paraId="35CEA3B1" w14:textId="77777777" w:rsidR="00674795" w:rsidRDefault="00674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75A7"/>
    <w:multiLevelType w:val="hybridMultilevel"/>
    <w:tmpl w:val="C9E60F10"/>
    <w:lvl w:ilvl="0" w:tplc="6F3CABF2">
      <w:numFmt w:val="bullet"/>
      <w:lvlText w:val="●"/>
      <w:lvlJc w:val="left"/>
      <w:pPr>
        <w:ind w:left="674" w:hanging="425"/>
      </w:pPr>
      <w:rPr>
        <w:rFonts w:ascii="Times New Roman" w:eastAsia="Times New Roman" w:hAnsi="Times New Roman" w:cs="Times New Roman" w:hint="default"/>
        <w:w w:val="100"/>
        <w:sz w:val="22"/>
        <w:szCs w:val="22"/>
        <w:lang w:val="en-AU" w:eastAsia="en-US" w:bidi="ar-SA"/>
      </w:rPr>
    </w:lvl>
    <w:lvl w:ilvl="1" w:tplc="DA5A4988">
      <w:numFmt w:val="bullet"/>
      <w:lvlText w:val="•"/>
      <w:lvlJc w:val="left"/>
      <w:pPr>
        <w:ind w:left="1262" w:hanging="425"/>
      </w:pPr>
      <w:rPr>
        <w:rFonts w:hint="default"/>
        <w:lang w:val="en-AU" w:eastAsia="en-US" w:bidi="ar-SA"/>
      </w:rPr>
    </w:lvl>
    <w:lvl w:ilvl="2" w:tplc="5D8E8368">
      <w:numFmt w:val="bullet"/>
      <w:lvlText w:val="•"/>
      <w:lvlJc w:val="left"/>
      <w:pPr>
        <w:ind w:left="1845" w:hanging="425"/>
      </w:pPr>
      <w:rPr>
        <w:rFonts w:hint="default"/>
        <w:lang w:val="en-AU" w:eastAsia="en-US" w:bidi="ar-SA"/>
      </w:rPr>
    </w:lvl>
    <w:lvl w:ilvl="3" w:tplc="B8065EAE">
      <w:numFmt w:val="bullet"/>
      <w:lvlText w:val="•"/>
      <w:lvlJc w:val="left"/>
      <w:pPr>
        <w:ind w:left="2428" w:hanging="425"/>
      </w:pPr>
      <w:rPr>
        <w:rFonts w:hint="default"/>
        <w:lang w:val="en-AU" w:eastAsia="en-US" w:bidi="ar-SA"/>
      </w:rPr>
    </w:lvl>
    <w:lvl w:ilvl="4" w:tplc="9B384332">
      <w:numFmt w:val="bullet"/>
      <w:lvlText w:val="•"/>
      <w:lvlJc w:val="left"/>
      <w:pPr>
        <w:ind w:left="3010" w:hanging="425"/>
      </w:pPr>
      <w:rPr>
        <w:rFonts w:hint="default"/>
        <w:lang w:val="en-AU" w:eastAsia="en-US" w:bidi="ar-SA"/>
      </w:rPr>
    </w:lvl>
    <w:lvl w:ilvl="5" w:tplc="31A2A172">
      <w:numFmt w:val="bullet"/>
      <w:lvlText w:val="•"/>
      <w:lvlJc w:val="left"/>
      <w:pPr>
        <w:ind w:left="3593" w:hanging="425"/>
      </w:pPr>
      <w:rPr>
        <w:rFonts w:hint="default"/>
        <w:lang w:val="en-AU" w:eastAsia="en-US" w:bidi="ar-SA"/>
      </w:rPr>
    </w:lvl>
    <w:lvl w:ilvl="6" w:tplc="17A8FA6C">
      <w:numFmt w:val="bullet"/>
      <w:lvlText w:val="•"/>
      <w:lvlJc w:val="left"/>
      <w:pPr>
        <w:ind w:left="4176" w:hanging="425"/>
      </w:pPr>
      <w:rPr>
        <w:rFonts w:hint="default"/>
        <w:lang w:val="en-AU" w:eastAsia="en-US" w:bidi="ar-SA"/>
      </w:rPr>
    </w:lvl>
    <w:lvl w:ilvl="7" w:tplc="A4943348">
      <w:numFmt w:val="bullet"/>
      <w:lvlText w:val="•"/>
      <w:lvlJc w:val="left"/>
      <w:pPr>
        <w:ind w:left="4758" w:hanging="425"/>
      </w:pPr>
      <w:rPr>
        <w:rFonts w:hint="default"/>
        <w:lang w:val="en-AU" w:eastAsia="en-US" w:bidi="ar-SA"/>
      </w:rPr>
    </w:lvl>
    <w:lvl w:ilvl="8" w:tplc="CEE847CC">
      <w:numFmt w:val="bullet"/>
      <w:lvlText w:val="•"/>
      <w:lvlJc w:val="left"/>
      <w:pPr>
        <w:ind w:left="5341" w:hanging="425"/>
      </w:pPr>
      <w:rPr>
        <w:rFonts w:hint="default"/>
        <w:lang w:val="en-AU" w:eastAsia="en-US" w:bidi="ar-SA"/>
      </w:rPr>
    </w:lvl>
  </w:abstractNum>
  <w:abstractNum w:abstractNumId="1" w15:restartNumberingAfterBreak="0">
    <w:nsid w:val="1C286687"/>
    <w:multiLevelType w:val="hybridMultilevel"/>
    <w:tmpl w:val="9F52AFA0"/>
    <w:lvl w:ilvl="0" w:tplc="2C1815B2">
      <w:start w:val="1"/>
      <w:numFmt w:val="bullet"/>
      <w:lvlText w:val=""/>
      <w:lvlJc w:val="left"/>
      <w:pPr>
        <w:ind w:left="609" w:hanging="360"/>
      </w:pPr>
      <w:rPr>
        <w:rFonts w:ascii="Symbol" w:hAnsi="Symbol" w:hint="default"/>
        <w:color w:val="585858"/>
        <w:w w:val="100"/>
        <w:sz w:val="22"/>
        <w:szCs w:val="22"/>
        <w:lang w:val="en-AU" w:eastAsia="en-US" w:bidi="ar-SA"/>
      </w:rPr>
    </w:lvl>
    <w:lvl w:ilvl="1" w:tplc="DA5A4988">
      <w:numFmt w:val="bullet"/>
      <w:lvlText w:val="•"/>
      <w:lvlJc w:val="left"/>
      <w:pPr>
        <w:ind w:left="1262" w:hanging="425"/>
      </w:pPr>
      <w:rPr>
        <w:rFonts w:hint="default"/>
        <w:lang w:val="en-AU" w:eastAsia="en-US" w:bidi="ar-SA"/>
      </w:rPr>
    </w:lvl>
    <w:lvl w:ilvl="2" w:tplc="5D8E8368">
      <w:numFmt w:val="bullet"/>
      <w:lvlText w:val="•"/>
      <w:lvlJc w:val="left"/>
      <w:pPr>
        <w:ind w:left="1845" w:hanging="425"/>
      </w:pPr>
      <w:rPr>
        <w:rFonts w:hint="default"/>
        <w:lang w:val="en-AU" w:eastAsia="en-US" w:bidi="ar-SA"/>
      </w:rPr>
    </w:lvl>
    <w:lvl w:ilvl="3" w:tplc="B8065EAE">
      <w:numFmt w:val="bullet"/>
      <w:lvlText w:val="•"/>
      <w:lvlJc w:val="left"/>
      <w:pPr>
        <w:ind w:left="2428" w:hanging="425"/>
      </w:pPr>
      <w:rPr>
        <w:rFonts w:hint="default"/>
        <w:lang w:val="en-AU" w:eastAsia="en-US" w:bidi="ar-SA"/>
      </w:rPr>
    </w:lvl>
    <w:lvl w:ilvl="4" w:tplc="9B384332">
      <w:numFmt w:val="bullet"/>
      <w:lvlText w:val="•"/>
      <w:lvlJc w:val="left"/>
      <w:pPr>
        <w:ind w:left="3010" w:hanging="425"/>
      </w:pPr>
      <w:rPr>
        <w:rFonts w:hint="default"/>
        <w:lang w:val="en-AU" w:eastAsia="en-US" w:bidi="ar-SA"/>
      </w:rPr>
    </w:lvl>
    <w:lvl w:ilvl="5" w:tplc="31A2A172">
      <w:numFmt w:val="bullet"/>
      <w:lvlText w:val="•"/>
      <w:lvlJc w:val="left"/>
      <w:pPr>
        <w:ind w:left="3593" w:hanging="425"/>
      </w:pPr>
      <w:rPr>
        <w:rFonts w:hint="default"/>
        <w:lang w:val="en-AU" w:eastAsia="en-US" w:bidi="ar-SA"/>
      </w:rPr>
    </w:lvl>
    <w:lvl w:ilvl="6" w:tplc="17A8FA6C">
      <w:numFmt w:val="bullet"/>
      <w:lvlText w:val="•"/>
      <w:lvlJc w:val="left"/>
      <w:pPr>
        <w:ind w:left="4176" w:hanging="425"/>
      </w:pPr>
      <w:rPr>
        <w:rFonts w:hint="default"/>
        <w:lang w:val="en-AU" w:eastAsia="en-US" w:bidi="ar-SA"/>
      </w:rPr>
    </w:lvl>
    <w:lvl w:ilvl="7" w:tplc="A4943348">
      <w:numFmt w:val="bullet"/>
      <w:lvlText w:val="•"/>
      <w:lvlJc w:val="left"/>
      <w:pPr>
        <w:ind w:left="4758" w:hanging="425"/>
      </w:pPr>
      <w:rPr>
        <w:rFonts w:hint="default"/>
        <w:lang w:val="en-AU" w:eastAsia="en-US" w:bidi="ar-SA"/>
      </w:rPr>
    </w:lvl>
    <w:lvl w:ilvl="8" w:tplc="CEE847CC">
      <w:numFmt w:val="bullet"/>
      <w:lvlText w:val="•"/>
      <w:lvlJc w:val="left"/>
      <w:pPr>
        <w:ind w:left="5341" w:hanging="425"/>
      </w:pPr>
      <w:rPr>
        <w:rFonts w:hint="default"/>
        <w:lang w:val="en-AU" w:eastAsia="en-US" w:bidi="ar-SA"/>
      </w:rPr>
    </w:lvl>
  </w:abstractNum>
  <w:abstractNum w:abstractNumId="2" w15:restartNumberingAfterBreak="0">
    <w:nsid w:val="2ED4366C"/>
    <w:multiLevelType w:val="hybridMultilevel"/>
    <w:tmpl w:val="1F1E3F1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77930BB9"/>
    <w:multiLevelType w:val="hybridMultilevel"/>
    <w:tmpl w:val="B1800DC6"/>
    <w:lvl w:ilvl="0" w:tplc="C47206CC">
      <w:numFmt w:val="bullet"/>
      <w:lvlText w:val="●"/>
      <w:lvlJc w:val="left"/>
      <w:pPr>
        <w:ind w:left="674" w:hanging="425"/>
      </w:pPr>
      <w:rPr>
        <w:rFonts w:ascii="Times New Roman" w:eastAsia="Times New Roman" w:hAnsi="Times New Roman" w:cs="Times New Roman" w:hint="default"/>
        <w:w w:val="100"/>
        <w:sz w:val="22"/>
        <w:szCs w:val="22"/>
        <w:lang w:val="en-AU" w:eastAsia="en-US" w:bidi="ar-SA"/>
      </w:rPr>
    </w:lvl>
    <w:lvl w:ilvl="1" w:tplc="21D2CBC0">
      <w:numFmt w:val="bullet"/>
      <w:lvlText w:val="•"/>
      <w:lvlJc w:val="left"/>
      <w:pPr>
        <w:ind w:left="1262" w:hanging="425"/>
      </w:pPr>
      <w:rPr>
        <w:rFonts w:hint="default"/>
        <w:lang w:val="en-AU" w:eastAsia="en-US" w:bidi="ar-SA"/>
      </w:rPr>
    </w:lvl>
    <w:lvl w:ilvl="2" w:tplc="37D2D7B8">
      <w:numFmt w:val="bullet"/>
      <w:lvlText w:val="•"/>
      <w:lvlJc w:val="left"/>
      <w:pPr>
        <w:ind w:left="1845" w:hanging="425"/>
      </w:pPr>
      <w:rPr>
        <w:rFonts w:hint="default"/>
        <w:lang w:val="en-AU" w:eastAsia="en-US" w:bidi="ar-SA"/>
      </w:rPr>
    </w:lvl>
    <w:lvl w:ilvl="3" w:tplc="5AD27FF4">
      <w:numFmt w:val="bullet"/>
      <w:lvlText w:val="•"/>
      <w:lvlJc w:val="left"/>
      <w:pPr>
        <w:ind w:left="2428" w:hanging="425"/>
      </w:pPr>
      <w:rPr>
        <w:rFonts w:hint="default"/>
        <w:lang w:val="en-AU" w:eastAsia="en-US" w:bidi="ar-SA"/>
      </w:rPr>
    </w:lvl>
    <w:lvl w:ilvl="4" w:tplc="2F6EDA16">
      <w:numFmt w:val="bullet"/>
      <w:lvlText w:val="•"/>
      <w:lvlJc w:val="left"/>
      <w:pPr>
        <w:ind w:left="3010" w:hanging="425"/>
      </w:pPr>
      <w:rPr>
        <w:rFonts w:hint="default"/>
        <w:lang w:val="en-AU" w:eastAsia="en-US" w:bidi="ar-SA"/>
      </w:rPr>
    </w:lvl>
    <w:lvl w:ilvl="5" w:tplc="0B4A988A">
      <w:numFmt w:val="bullet"/>
      <w:lvlText w:val="•"/>
      <w:lvlJc w:val="left"/>
      <w:pPr>
        <w:ind w:left="3593" w:hanging="425"/>
      </w:pPr>
      <w:rPr>
        <w:rFonts w:hint="default"/>
        <w:lang w:val="en-AU" w:eastAsia="en-US" w:bidi="ar-SA"/>
      </w:rPr>
    </w:lvl>
    <w:lvl w:ilvl="6" w:tplc="509852E4">
      <w:numFmt w:val="bullet"/>
      <w:lvlText w:val="•"/>
      <w:lvlJc w:val="left"/>
      <w:pPr>
        <w:ind w:left="4176" w:hanging="425"/>
      </w:pPr>
      <w:rPr>
        <w:rFonts w:hint="default"/>
        <w:lang w:val="en-AU" w:eastAsia="en-US" w:bidi="ar-SA"/>
      </w:rPr>
    </w:lvl>
    <w:lvl w:ilvl="7" w:tplc="554A74B0">
      <w:numFmt w:val="bullet"/>
      <w:lvlText w:val="•"/>
      <w:lvlJc w:val="left"/>
      <w:pPr>
        <w:ind w:left="4758" w:hanging="425"/>
      </w:pPr>
      <w:rPr>
        <w:rFonts w:hint="default"/>
        <w:lang w:val="en-AU" w:eastAsia="en-US" w:bidi="ar-SA"/>
      </w:rPr>
    </w:lvl>
    <w:lvl w:ilvl="8" w:tplc="E448400A">
      <w:numFmt w:val="bullet"/>
      <w:lvlText w:val="•"/>
      <w:lvlJc w:val="left"/>
      <w:pPr>
        <w:ind w:left="5341" w:hanging="425"/>
      </w:pPr>
      <w:rPr>
        <w:rFonts w:hint="default"/>
        <w:lang w:val="en-AU"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F2"/>
    <w:rsid w:val="002910F2"/>
    <w:rsid w:val="002C2320"/>
    <w:rsid w:val="003332DF"/>
    <w:rsid w:val="003970E3"/>
    <w:rsid w:val="004E23ED"/>
    <w:rsid w:val="00665A2F"/>
    <w:rsid w:val="00674795"/>
    <w:rsid w:val="006F26B7"/>
    <w:rsid w:val="00866C14"/>
    <w:rsid w:val="00884AD4"/>
    <w:rsid w:val="00886CC9"/>
    <w:rsid w:val="008C6D80"/>
    <w:rsid w:val="00AC1E07"/>
    <w:rsid w:val="00AC6BB3"/>
    <w:rsid w:val="00B521E1"/>
    <w:rsid w:val="00BC2F87"/>
    <w:rsid w:val="00D37F61"/>
    <w:rsid w:val="00DF3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CCE2"/>
  <w15:chartTrackingRefBased/>
  <w15:docId w15:val="{6595F158-CC8B-4FB4-89C5-5B52BC06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910F2"/>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3970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2910F2"/>
    <w:pPr>
      <w:spacing w:before="44"/>
      <w:ind w:left="330"/>
      <w:outlineLvl w:val="2"/>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910F2"/>
    <w:rPr>
      <w:rFonts w:ascii="Calibri Light" w:eastAsia="Calibri Light" w:hAnsi="Calibri Light" w:cs="Calibri Light"/>
      <w:sz w:val="28"/>
      <w:szCs w:val="28"/>
    </w:rPr>
  </w:style>
  <w:style w:type="paragraph" w:styleId="BodyText">
    <w:name w:val="Body Text"/>
    <w:basedOn w:val="Normal"/>
    <w:link w:val="BodyTextChar"/>
    <w:uiPriority w:val="1"/>
    <w:qFormat/>
    <w:rsid w:val="002910F2"/>
  </w:style>
  <w:style w:type="character" w:customStyle="1" w:styleId="BodyTextChar">
    <w:name w:val="Body Text Char"/>
    <w:basedOn w:val="DefaultParagraphFont"/>
    <w:link w:val="BodyText"/>
    <w:uiPriority w:val="1"/>
    <w:rsid w:val="002910F2"/>
    <w:rPr>
      <w:rFonts w:ascii="Calibri" w:eastAsia="Calibri" w:hAnsi="Calibri" w:cs="Calibri"/>
    </w:rPr>
  </w:style>
  <w:style w:type="paragraph" w:customStyle="1" w:styleId="TableParagraph">
    <w:name w:val="Table Paragraph"/>
    <w:basedOn w:val="Normal"/>
    <w:uiPriority w:val="1"/>
    <w:qFormat/>
    <w:rsid w:val="002910F2"/>
  </w:style>
  <w:style w:type="paragraph" w:styleId="Header">
    <w:name w:val="header"/>
    <w:basedOn w:val="Normal"/>
    <w:link w:val="HeaderChar"/>
    <w:uiPriority w:val="99"/>
    <w:unhideWhenUsed/>
    <w:rsid w:val="00D37F61"/>
    <w:pPr>
      <w:tabs>
        <w:tab w:val="center" w:pos="4513"/>
        <w:tab w:val="right" w:pos="9026"/>
      </w:tabs>
    </w:pPr>
  </w:style>
  <w:style w:type="character" w:customStyle="1" w:styleId="HeaderChar">
    <w:name w:val="Header Char"/>
    <w:basedOn w:val="DefaultParagraphFont"/>
    <w:link w:val="Header"/>
    <w:uiPriority w:val="99"/>
    <w:rsid w:val="00D37F61"/>
    <w:rPr>
      <w:rFonts w:ascii="Calibri" w:eastAsia="Calibri" w:hAnsi="Calibri" w:cs="Calibri"/>
    </w:rPr>
  </w:style>
  <w:style w:type="paragraph" w:styleId="Footer">
    <w:name w:val="footer"/>
    <w:basedOn w:val="Normal"/>
    <w:link w:val="FooterChar"/>
    <w:uiPriority w:val="99"/>
    <w:unhideWhenUsed/>
    <w:rsid w:val="00D37F61"/>
    <w:pPr>
      <w:tabs>
        <w:tab w:val="center" w:pos="4513"/>
        <w:tab w:val="right" w:pos="9026"/>
      </w:tabs>
    </w:pPr>
  </w:style>
  <w:style w:type="character" w:customStyle="1" w:styleId="FooterChar">
    <w:name w:val="Footer Char"/>
    <w:basedOn w:val="DefaultParagraphFont"/>
    <w:link w:val="Footer"/>
    <w:uiPriority w:val="99"/>
    <w:rsid w:val="00D37F61"/>
    <w:rPr>
      <w:rFonts w:ascii="Calibri" w:eastAsia="Calibri" w:hAnsi="Calibri" w:cs="Calibri"/>
    </w:rPr>
  </w:style>
  <w:style w:type="character" w:customStyle="1" w:styleId="Heading1Char">
    <w:name w:val="Heading 1 Char"/>
    <w:basedOn w:val="DefaultParagraphFont"/>
    <w:link w:val="Heading1"/>
    <w:uiPriority w:val="9"/>
    <w:rsid w:val="003970E3"/>
    <w:rPr>
      <w:rFonts w:asciiTheme="majorHAnsi" w:eastAsiaTheme="majorEastAsia" w:hAnsiTheme="majorHAnsi" w:cstheme="majorBidi"/>
      <w:color w:val="2E74B5" w:themeColor="accent1" w:themeShade="BF"/>
      <w:sz w:val="32"/>
      <w:szCs w:val="32"/>
    </w:rPr>
  </w:style>
  <w:style w:type="paragraph" w:customStyle="1" w:styleId="BodyCopy">
    <w:name w:val="Body Copy"/>
    <w:qFormat/>
    <w:rsid w:val="003970E3"/>
    <w:pPr>
      <w:tabs>
        <w:tab w:val="left" w:pos="3000"/>
      </w:tabs>
      <w:spacing w:before="120" w:after="120" w:line="240" w:lineRule="auto"/>
    </w:pPr>
    <w:rPr>
      <w:rFonts w:asciiTheme="majorHAnsi" w:eastAsiaTheme="minorEastAsia" w:hAnsiTheme="majorHAnsi"/>
      <w:color w:val="595959" w:themeColor="text1" w:themeTint="A6"/>
      <w:lang w:val="en-US"/>
    </w:rPr>
  </w:style>
  <w:style w:type="character" w:styleId="PageNumber">
    <w:name w:val="page number"/>
    <w:basedOn w:val="DefaultParagraphFont"/>
    <w:uiPriority w:val="99"/>
    <w:semiHidden/>
    <w:unhideWhenUsed/>
    <w:rsid w:val="003970E3"/>
  </w:style>
  <w:style w:type="character" w:styleId="Hyperlink">
    <w:name w:val="Hyperlink"/>
    <w:basedOn w:val="DefaultParagraphFont"/>
    <w:uiPriority w:val="99"/>
    <w:unhideWhenUsed/>
    <w:rsid w:val="006F26B7"/>
    <w:rPr>
      <w:color w:val="0563C1" w:themeColor="hyperlink"/>
      <w:u w:val="single"/>
    </w:rPr>
  </w:style>
  <w:style w:type="character" w:styleId="FollowedHyperlink">
    <w:name w:val="FollowedHyperlink"/>
    <w:basedOn w:val="DefaultParagraphFont"/>
    <w:uiPriority w:val="99"/>
    <w:semiHidden/>
    <w:unhideWhenUsed/>
    <w:rsid w:val="006F26B7"/>
    <w:rPr>
      <w:color w:val="954F72" w:themeColor="followedHyperlink"/>
      <w:u w:val="single"/>
    </w:rPr>
  </w:style>
  <w:style w:type="character" w:styleId="CommentReference">
    <w:name w:val="annotation reference"/>
    <w:basedOn w:val="DefaultParagraphFont"/>
    <w:uiPriority w:val="99"/>
    <w:semiHidden/>
    <w:unhideWhenUsed/>
    <w:rsid w:val="006F26B7"/>
    <w:rPr>
      <w:sz w:val="16"/>
      <w:szCs w:val="16"/>
    </w:rPr>
  </w:style>
  <w:style w:type="paragraph" w:styleId="CommentText">
    <w:name w:val="annotation text"/>
    <w:basedOn w:val="Normal"/>
    <w:link w:val="CommentTextChar"/>
    <w:uiPriority w:val="99"/>
    <w:semiHidden/>
    <w:unhideWhenUsed/>
    <w:rsid w:val="006F26B7"/>
    <w:rPr>
      <w:sz w:val="20"/>
      <w:szCs w:val="20"/>
    </w:rPr>
  </w:style>
  <w:style w:type="character" w:customStyle="1" w:styleId="CommentTextChar">
    <w:name w:val="Comment Text Char"/>
    <w:basedOn w:val="DefaultParagraphFont"/>
    <w:link w:val="CommentText"/>
    <w:uiPriority w:val="99"/>
    <w:semiHidden/>
    <w:rsid w:val="006F26B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26B7"/>
    <w:rPr>
      <w:b/>
      <w:bCs/>
    </w:rPr>
  </w:style>
  <w:style w:type="character" w:customStyle="1" w:styleId="CommentSubjectChar">
    <w:name w:val="Comment Subject Char"/>
    <w:basedOn w:val="CommentTextChar"/>
    <w:link w:val="CommentSubject"/>
    <w:uiPriority w:val="99"/>
    <w:semiHidden/>
    <w:rsid w:val="006F26B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F2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evn.cecv.catholic.edu.au/Melb/Document-File/Polices-Compliance-and-Legal/Privacy/Privacy-Compliance-Manual" TargetMode="External"/><Relationship Id="rId4" Type="http://schemas.openxmlformats.org/officeDocument/2006/relationships/webSettings" Target="webSettings.xml"/><Relationship Id="rId9" Type="http://schemas.openxmlformats.org/officeDocument/2006/relationships/hyperlink" Target="https://www.police.vic.gov.au/resources-and-fact-shee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Fyffe, Emily</dc:creator>
  <cp:keywords/>
  <dc:description/>
  <cp:lastModifiedBy>Microsoft Office User</cp:lastModifiedBy>
  <cp:revision>2</cp:revision>
  <dcterms:created xsi:type="dcterms:W3CDTF">2021-06-04T03:38:00Z</dcterms:created>
  <dcterms:modified xsi:type="dcterms:W3CDTF">2021-06-04T03:38:00Z</dcterms:modified>
</cp:coreProperties>
</file>